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14" w:rsidRPr="002F6714" w:rsidRDefault="002F6714" w:rsidP="002F671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</w:rPr>
      </w:pPr>
      <w:r>
        <w:rPr>
          <w:rFonts w:ascii="Arial" w:eastAsia="Times New Roman" w:hAnsi="Arial" w:cs="Arial"/>
          <w:noProof/>
          <w:color w:val="2A2928"/>
          <w:sz w:val="24"/>
          <w:szCs w:val="24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14" w:rsidRPr="002F6714" w:rsidRDefault="002F6714" w:rsidP="002F6714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</w:rPr>
      </w:pPr>
      <w:r w:rsidRPr="002F6714">
        <w:rPr>
          <w:rFonts w:ascii="Arial" w:eastAsia="Times New Roman" w:hAnsi="Arial" w:cs="Arial"/>
          <w:color w:val="2A2928"/>
          <w:sz w:val="39"/>
          <w:szCs w:val="39"/>
        </w:rPr>
        <w:t>МІНІСТЕРСТВО ОБОРОНИ УКРАЇНИ</w:t>
      </w:r>
    </w:p>
    <w:p w:rsidR="002F6714" w:rsidRPr="002F6714" w:rsidRDefault="002F6714" w:rsidP="002F6714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</w:rPr>
      </w:pPr>
      <w:r w:rsidRPr="002F6714">
        <w:rPr>
          <w:rFonts w:ascii="Arial" w:eastAsia="Times New Roman" w:hAnsi="Arial" w:cs="Arial"/>
          <w:color w:val="2A2928"/>
          <w:sz w:val="39"/>
          <w:szCs w:val="39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310"/>
        <w:gridCol w:w="2824"/>
        <w:gridCol w:w="3309"/>
      </w:tblGrid>
      <w:tr w:rsidR="002F6714" w:rsidRPr="002F6714" w:rsidTr="002F6714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28.02.2017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м.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Киї</w:t>
            </w:r>
            <w:proofErr w:type="gram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N 118</w:t>
            </w:r>
          </w:p>
        </w:tc>
      </w:tr>
    </w:tbl>
    <w:p w:rsidR="002F6714" w:rsidRPr="002F6714" w:rsidRDefault="002F6714" w:rsidP="002F671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</w:rPr>
      </w:pPr>
      <w:proofErr w:type="spellStart"/>
      <w:r w:rsidRPr="002F6714">
        <w:rPr>
          <w:rFonts w:ascii="Arial" w:eastAsia="Times New Roman" w:hAnsi="Arial" w:cs="Arial"/>
          <w:b/>
          <w:bCs/>
          <w:color w:val="2A2928"/>
          <w:sz w:val="24"/>
          <w:szCs w:val="24"/>
        </w:rPr>
        <w:t>Зареєстровано</w:t>
      </w:r>
      <w:proofErr w:type="spellEnd"/>
      <w:r w:rsidRPr="002F6714">
        <w:rPr>
          <w:rFonts w:ascii="Arial" w:eastAsia="Times New Roman" w:hAnsi="Arial" w:cs="Arial"/>
          <w:b/>
          <w:bCs/>
          <w:color w:val="2A2928"/>
          <w:sz w:val="24"/>
          <w:szCs w:val="24"/>
        </w:rPr>
        <w:t xml:space="preserve"> в </w:t>
      </w:r>
      <w:proofErr w:type="spellStart"/>
      <w:r w:rsidRPr="002F6714">
        <w:rPr>
          <w:rFonts w:ascii="Arial" w:eastAsia="Times New Roman" w:hAnsi="Arial" w:cs="Arial"/>
          <w:b/>
          <w:bCs/>
          <w:color w:val="2A2928"/>
          <w:sz w:val="24"/>
          <w:szCs w:val="24"/>
        </w:rPr>
        <w:t>Міністерстві</w:t>
      </w:r>
      <w:proofErr w:type="spellEnd"/>
      <w:r w:rsidRPr="002F6714">
        <w:rPr>
          <w:rFonts w:ascii="Arial" w:eastAsia="Times New Roman" w:hAnsi="Arial" w:cs="Arial"/>
          <w:b/>
          <w:bCs/>
          <w:color w:val="2A2928"/>
          <w:sz w:val="24"/>
          <w:szCs w:val="24"/>
        </w:rPr>
        <w:t xml:space="preserve"> </w:t>
      </w:r>
      <w:proofErr w:type="spellStart"/>
      <w:r w:rsidRPr="002F6714">
        <w:rPr>
          <w:rFonts w:ascii="Arial" w:eastAsia="Times New Roman" w:hAnsi="Arial" w:cs="Arial"/>
          <w:b/>
          <w:bCs/>
          <w:color w:val="2A2928"/>
          <w:sz w:val="24"/>
          <w:szCs w:val="24"/>
        </w:rPr>
        <w:t>юстиції</w:t>
      </w:r>
      <w:proofErr w:type="spellEnd"/>
      <w:r w:rsidRPr="002F6714">
        <w:rPr>
          <w:rFonts w:ascii="Arial" w:eastAsia="Times New Roman" w:hAnsi="Arial" w:cs="Arial"/>
          <w:b/>
          <w:bCs/>
          <w:color w:val="2A2928"/>
          <w:sz w:val="24"/>
          <w:szCs w:val="24"/>
        </w:rPr>
        <w:t xml:space="preserve"> </w:t>
      </w:r>
      <w:proofErr w:type="spellStart"/>
      <w:r w:rsidRPr="002F6714">
        <w:rPr>
          <w:rFonts w:ascii="Arial" w:eastAsia="Times New Roman" w:hAnsi="Arial" w:cs="Arial"/>
          <w:b/>
          <w:bCs/>
          <w:color w:val="2A2928"/>
          <w:sz w:val="24"/>
          <w:szCs w:val="24"/>
        </w:rPr>
        <w:t>України</w:t>
      </w:r>
      <w:proofErr w:type="spellEnd"/>
      <w:r w:rsidRPr="002F6714">
        <w:rPr>
          <w:rFonts w:ascii="Arial" w:eastAsia="Times New Roman" w:hAnsi="Arial" w:cs="Arial"/>
          <w:b/>
          <w:bCs/>
          <w:color w:val="2A2928"/>
          <w:sz w:val="24"/>
          <w:szCs w:val="24"/>
        </w:rPr>
        <w:br/>
        <w:t xml:space="preserve">16 </w:t>
      </w:r>
      <w:proofErr w:type="spellStart"/>
      <w:r w:rsidRPr="002F6714">
        <w:rPr>
          <w:rFonts w:ascii="Arial" w:eastAsia="Times New Roman" w:hAnsi="Arial" w:cs="Arial"/>
          <w:b/>
          <w:bCs/>
          <w:color w:val="2A2928"/>
          <w:sz w:val="24"/>
          <w:szCs w:val="24"/>
        </w:rPr>
        <w:t>березня</w:t>
      </w:r>
      <w:proofErr w:type="spellEnd"/>
      <w:r w:rsidRPr="002F6714">
        <w:rPr>
          <w:rFonts w:ascii="Arial" w:eastAsia="Times New Roman" w:hAnsi="Arial" w:cs="Arial"/>
          <w:b/>
          <w:bCs/>
          <w:color w:val="2A2928"/>
          <w:sz w:val="24"/>
          <w:szCs w:val="24"/>
        </w:rPr>
        <w:t xml:space="preserve"> 2017 р. за N 366/30234</w:t>
      </w:r>
    </w:p>
    <w:p w:rsidR="002F6714" w:rsidRPr="002F6714" w:rsidRDefault="002F6714" w:rsidP="002F6714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</w:rPr>
      </w:pPr>
      <w:r w:rsidRPr="002F6714">
        <w:rPr>
          <w:rFonts w:ascii="Arial" w:eastAsia="Times New Roman" w:hAnsi="Arial" w:cs="Arial"/>
          <w:color w:val="2A2928"/>
          <w:sz w:val="39"/>
          <w:szCs w:val="39"/>
        </w:rPr>
        <w:t xml:space="preserve">Про </w:t>
      </w:r>
      <w:proofErr w:type="spellStart"/>
      <w:r w:rsidRPr="002F6714">
        <w:rPr>
          <w:rFonts w:ascii="Arial" w:eastAsia="Times New Roman" w:hAnsi="Arial" w:cs="Arial"/>
          <w:color w:val="2A2928"/>
          <w:sz w:val="39"/>
          <w:szCs w:val="39"/>
        </w:rPr>
        <w:t>визнання</w:t>
      </w:r>
      <w:proofErr w:type="spellEnd"/>
      <w:r w:rsidRPr="002F6714">
        <w:rPr>
          <w:rFonts w:ascii="Arial" w:eastAsia="Times New Roman" w:hAnsi="Arial" w:cs="Arial"/>
          <w:color w:val="2A2928"/>
          <w:sz w:val="39"/>
          <w:szCs w:val="39"/>
        </w:rPr>
        <w:t xml:space="preserve"> таким, </w:t>
      </w:r>
      <w:proofErr w:type="spellStart"/>
      <w:r w:rsidRPr="002F6714">
        <w:rPr>
          <w:rFonts w:ascii="Arial" w:eastAsia="Times New Roman" w:hAnsi="Arial" w:cs="Arial"/>
          <w:color w:val="2A2928"/>
          <w:sz w:val="39"/>
          <w:szCs w:val="39"/>
        </w:rPr>
        <w:t>що</w:t>
      </w:r>
      <w:proofErr w:type="spellEnd"/>
      <w:r w:rsidRPr="002F6714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2F6714">
        <w:rPr>
          <w:rFonts w:ascii="Arial" w:eastAsia="Times New Roman" w:hAnsi="Arial" w:cs="Arial"/>
          <w:color w:val="2A2928"/>
          <w:sz w:val="39"/>
          <w:szCs w:val="39"/>
        </w:rPr>
        <w:t>втратив</w:t>
      </w:r>
      <w:proofErr w:type="spellEnd"/>
      <w:r w:rsidRPr="002F6714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2F6714">
        <w:rPr>
          <w:rFonts w:ascii="Arial" w:eastAsia="Times New Roman" w:hAnsi="Arial" w:cs="Arial"/>
          <w:color w:val="2A2928"/>
          <w:sz w:val="39"/>
          <w:szCs w:val="39"/>
        </w:rPr>
        <w:t>чинність</w:t>
      </w:r>
      <w:proofErr w:type="spellEnd"/>
      <w:r w:rsidRPr="002F6714">
        <w:rPr>
          <w:rFonts w:ascii="Arial" w:eastAsia="Times New Roman" w:hAnsi="Arial" w:cs="Arial"/>
          <w:color w:val="2A2928"/>
          <w:sz w:val="39"/>
          <w:szCs w:val="39"/>
        </w:rPr>
        <w:t xml:space="preserve">, наказу </w:t>
      </w:r>
      <w:proofErr w:type="spellStart"/>
      <w:r w:rsidRPr="002F6714">
        <w:rPr>
          <w:rFonts w:ascii="Arial" w:eastAsia="Times New Roman" w:hAnsi="Arial" w:cs="Arial"/>
          <w:color w:val="2A2928"/>
          <w:sz w:val="39"/>
          <w:szCs w:val="39"/>
        </w:rPr>
        <w:t>Міністра</w:t>
      </w:r>
      <w:proofErr w:type="spellEnd"/>
      <w:r w:rsidRPr="002F6714">
        <w:rPr>
          <w:rFonts w:ascii="Arial" w:eastAsia="Times New Roman" w:hAnsi="Arial" w:cs="Arial"/>
          <w:color w:val="2A2928"/>
          <w:sz w:val="39"/>
          <w:szCs w:val="39"/>
        </w:rPr>
        <w:t xml:space="preserve"> оборони </w:t>
      </w:r>
      <w:proofErr w:type="spellStart"/>
      <w:r w:rsidRPr="002F6714">
        <w:rPr>
          <w:rFonts w:ascii="Arial" w:eastAsia="Times New Roman" w:hAnsi="Arial" w:cs="Arial"/>
          <w:color w:val="2A2928"/>
          <w:sz w:val="39"/>
          <w:szCs w:val="39"/>
        </w:rPr>
        <w:t>України</w:t>
      </w:r>
      <w:proofErr w:type="spellEnd"/>
      <w:r w:rsidRPr="002F6714">
        <w:rPr>
          <w:rFonts w:ascii="Arial" w:eastAsia="Times New Roman" w:hAnsi="Arial" w:cs="Arial"/>
          <w:color w:val="2A2928"/>
          <w:sz w:val="39"/>
          <w:szCs w:val="39"/>
        </w:rPr>
        <w:t xml:space="preserve"> </w:t>
      </w:r>
      <w:proofErr w:type="spellStart"/>
      <w:r w:rsidRPr="002F6714">
        <w:rPr>
          <w:rFonts w:ascii="Arial" w:eastAsia="Times New Roman" w:hAnsi="Arial" w:cs="Arial"/>
          <w:color w:val="2A2928"/>
          <w:sz w:val="39"/>
          <w:szCs w:val="39"/>
        </w:rPr>
        <w:t>від</w:t>
      </w:r>
      <w:proofErr w:type="spellEnd"/>
      <w:r w:rsidRPr="002F6714">
        <w:rPr>
          <w:rFonts w:ascii="Arial" w:eastAsia="Times New Roman" w:hAnsi="Arial" w:cs="Arial"/>
          <w:color w:val="2A2928"/>
          <w:sz w:val="39"/>
          <w:szCs w:val="39"/>
        </w:rPr>
        <w:t xml:space="preserve"> 15.12.2010 N 660</w:t>
      </w:r>
    </w:p>
    <w:p w:rsidR="002F6714" w:rsidRPr="002F6714" w:rsidRDefault="002F6714" w:rsidP="002F671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Відповідно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до </w:t>
      </w:r>
      <w:hyperlink r:id="rId5" w:tgtFrame="_top" w:history="1"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пункту 3 постанови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Кабінету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Міністрів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України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від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07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грудня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2016 року N 921 "Про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затвердження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Порядку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організації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та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ведення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військового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обліку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призовників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і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в</w:t>
        </w:r>
        <w:proofErr w:type="gram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ійськовозобов'язаних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"</w:t>
        </w:r>
      </w:hyperlink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 та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метою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приведення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нормативно-правового акта у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відповідність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до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вимог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законодавства</w:t>
      </w:r>
      <w:proofErr w:type="spellEnd"/>
    </w:p>
    <w:p w:rsidR="002F6714" w:rsidRPr="002F6714" w:rsidRDefault="002F6714" w:rsidP="002F671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2F6714">
        <w:rPr>
          <w:rFonts w:ascii="Arial" w:eastAsia="Times New Roman" w:hAnsi="Arial" w:cs="Arial"/>
          <w:b/>
          <w:bCs/>
          <w:color w:val="2A2928"/>
          <w:sz w:val="24"/>
          <w:szCs w:val="24"/>
        </w:rPr>
        <w:t>НАКАЗУЮ:</w:t>
      </w:r>
    </w:p>
    <w:p w:rsidR="002F6714" w:rsidRPr="002F6714" w:rsidRDefault="002F6714" w:rsidP="002F671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1.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Визнати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таким,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що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втратив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чинність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>, </w:t>
      </w:r>
      <w:hyperlink r:id="rId6" w:tgtFrame="_top" w:history="1"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наказ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Міністра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оборони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України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від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15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грудня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2010 року N 660 "Про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затвердження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Інструкції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з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організації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ведення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військового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обліку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військовозобов'язаних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і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призовників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gram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в</w:t>
        </w:r>
        <w:proofErr w:type="gram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органах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місцевого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самоврядування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, на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підприємствах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, в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установах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,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організаціях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і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  <w:proofErr w:type="spellStart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>навчальних</w:t>
        </w:r>
        <w:proofErr w:type="spellEnd"/>
        <w:r w:rsidRPr="002F6714">
          <w:rPr>
            <w:rFonts w:ascii="Arial" w:eastAsia="Times New Roman" w:hAnsi="Arial" w:cs="Arial"/>
            <w:color w:val="0000FF"/>
            <w:sz w:val="24"/>
            <w:szCs w:val="24"/>
          </w:rPr>
          <w:t xml:space="preserve"> закладах"</w:t>
        </w:r>
      </w:hyperlink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,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зареєстрований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у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Міністерстві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юстиції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України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12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березня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2011 року за N 308/19046.</w:t>
      </w:r>
    </w:p>
    <w:p w:rsidR="002F6714" w:rsidRPr="002F6714" w:rsidRDefault="002F6714" w:rsidP="002F671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2. Цей наказ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набирає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чинності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з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дня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його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офіційного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 xml:space="preserve"> </w:t>
      </w:r>
      <w:proofErr w:type="spellStart"/>
      <w:r w:rsidRPr="002F6714">
        <w:rPr>
          <w:rFonts w:ascii="Arial" w:eastAsia="Times New Roman" w:hAnsi="Arial" w:cs="Arial"/>
          <w:color w:val="2A2928"/>
          <w:sz w:val="24"/>
          <w:szCs w:val="24"/>
        </w:rPr>
        <w:t>опублікування</w:t>
      </w:r>
      <w:proofErr w:type="spellEnd"/>
      <w:r w:rsidRPr="002F6714">
        <w:rPr>
          <w:rFonts w:ascii="Arial" w:eastAsia="Times New Roman" w:hAnsi="Arial" w:cs="Arial"/>
          <w:color w:val="2A2928"/>
          <w:sz w:val="24"/>
          <w:szCs w:val="24"/>
        </w:rPr>
        <w:t>.</w:t>
      </w:r>
    </w:p>
    <w:p w:rsidR="002F6714" w:rsidRPr="002F6714" w:rsidRDefault="002F6714" w:rsidP="002F671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</w:rPr>
      </w:pPr>
      <w:r w:rsidRPr="002F6714">
        <w:rPr>
          <w:rFonts w:ascii="Arial" w:eastAsia="Times New Roman" w:hAnsi="Arial" w:cs="Arial"/>
          <w:color w:val="2A2928"/>
          <w:sz w:val="24"/>
          <w:szCs w:val="24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2"/>
      </w:tblGrid>
      <w:tr w:rsidR="002F6714" w:rsidRPr="002F6714" w:rsidTr="002F671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Тимчасово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виконуючий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обов'язки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Міністра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оборони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І. С.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Руснак</w:t>
            </w:r>
            <w:proofErr w:type="spellEnd"/>
          </w:p>
        </w:tc>
      </w:tr>
      <w:tr w:rsidR="002F6714" w:rsidRPr="002F6714" w:rsidTr="002F671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color w:val="2A2928"/>
                <w:sz w:val="24"/>
                <w:szCs w:val="24"/>
              </w:rPr>
              <w:t> </w:t>
            </w:r>
          </w:p>
        </w:tc>
      </w:tr>
      <w:tr w:rsidR="002F6714" w:rsidRPr="002F6714" w:rsidTr="002F671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Міні</w:t>
            </w:r>
            <w:proofErr w:type="gram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стр</w:t>
            </w:r>
            <w:proofErr w:type="spellEnd"/>
            <w:proofErr w:type="gram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внутрішніх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справ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А. Б.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Аваков</w:t>
            </w:r>
            <w:proofErr w:type="spellEnd"/>
          </w:p>
        </w:tc>
      </w:tr>
      <w:tr w:rsidR="002F6714" w:rsidRPr="002F6714" w:rsidTr="002F671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Міні</w:t>
            </w:r>
            <w:proofErr w:type="gram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стр</w:t>
            </w:r>
            <w:proofErr w:type="spellEnd"/>
            <w:proofErr w:type="gram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соціальної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політики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А. О. Рева</w:t>
            </w:r>
          </w:p>
        </w:tc>
      </w:tr>
      <w:tr w:rsidR="002F6714" w:rsidRPr="002F6714" w:rsidTr="002F671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Міні</w:t>
            </w:r>
            <w:proofErr w:type="gram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стр</w:t>
            </w:r>
            <w:proofErr w:type="spellEnd"/>
            <w:proofErr w:type="gram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освіти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і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науки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Л. М. Гриневич</w:t>
            </w:r>
          </w:p>
        </w:tc>
      </w:tr>
      <w:tr w:rsidR="002F6714" w:rsidRPr="002F6714" w:rsidTr="002F671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Перший заступник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Голови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Служби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безпеки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України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  <w:t>генерал-майор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П.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Демчина</w:t>
            </w:r>
            <w:proofErr w:type="spellEnd"/>
          </w:p>
        </w:tc>
      </w:tr>
      <w:tr w:rsidR="002F6714" w:rsidRPr="002F6714" w:rsidTr="002F671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Голова</w:t>
            </w:r>
            <w:proofErr w:type="gram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Д</w:t>
            </w:r>
            <w:proofErr w:type="gram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ержавної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br/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служби</w:t>
            </w:r>
            <w:proofErr w:type="spellEnd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 xml:space="preserve"> статистики </w:t>
            </w:r>
            <w:proofErr w:type="spellStart"/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6714" w:rsidRPr="002F6714" w:rsidRDefault="002F6714" w:rsidP="002F671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</w:rPr>
            </w:pPr>
            <w:r w:rsidRPr="002F6714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</w:rPr>
              <w:t>І. Вернер</w:t>
            </w:r>
          </w:p>
        </w:tc>
      </w:tr>
    </w:tbl>
    <w:p w:rsidR="001663B7" w:rsidRDefault="001663B7"/>
    <w:sectPr w:rsidR="0016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714"/>
    <w:rsid w:val="001663B7"/>
    <w:rsid w:val="002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7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c">
    <w:name w:val="tc"/>
    <w:basedOn w:val="a"/>
    <w:rsid w:val="002F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2F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6714"/>
  </w:style>
  <w:style w:type="character" w:styleId="a3">
    <w:name w:val="Hyperlink"/>
    <w:basedOn w:val="a0"/>
    <w:uiPriority w:val="99"/>
    <w:semiHidden/>
    <w:unhideWhenUsed/>
    <w:rsid w:val="002F67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19046.html" TargetMode="External"/><Relationship Id="rId5" Type="http://schemas.openxmlformats.org/officeDocument/2006/relationships/hyperlink" Target="http://search.ligazakon.ua/l_doc2.nsf/link1/KP160921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2017-05-10T12:16:00Z</dcterms:created>
  <dcterms:modified xsi:type="dcterms:W3CDTF">2017-05-10T12:17:00Z</dcterms:modified>
</cp:coreProperties>
</file>